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 w:line="520" w:lineRule="exact"/>
        <w:jc w:val="left"/>
        <w:rPr>
          <w:rFonts w:ascii="黑体" w:hAnsi="仿宋_GB2312" w:eastAsia="黑体"/>
          <w:sz w:val="32"/>
          <w:szCs w:val="20"/>
        </w:rPr>
      </w:pPr>
      <w:r>
        <w:rPr>
          <w:rFonts w:hint="eastAsia" w:ascii="黑体" w:hAnsi="仿宋_GB2312" w:eastAsia="黑体"/>
          <w:sz w:val="32"/>
          <w:szCs w:val="20"/>
        </w:rPr>
        <w:t>附件2</w:t>
      </w:r>
    </w:p>
    <w:p>
      <w:pPr>
        <w:widowControl/>
        <w:jc w:val="center"/>
        <w:rPr>
          <w:rFonts w:hint="eastAsia" w:ascii="方正小标宋_GBK" w:eastAsia="方正小标宋_GBK"/>
          <w:kern w:val="0"/>
          <w:sz w:val="36"/>
          <w:szCs w:val="36"/>
        </w:rPr>
      </w:pPr>
      <w:r>
        <w:rPr>
          <w:rFonts w:hint="eastAsia" w:ascii="方正小标宋_GBK" w:eastAsia="方正小标宋_GBK"/>
          <w:kern w:val="0"/>
          <w:sz w:val="36"/>
          <w:szCs w:val="36"/>
        </w:rPr>
        <w:t>平台用户开设信息及联系人员回执表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394"/>
        <w:gridCol w:w="1394"/>
        <w:gridCol w:w="1597"/>
        <w:gridCol w:w="198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手机号码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E-mail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所在单位名称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用户角色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520" w:lineRule="exact"/>
              <w:jc w:val="left"/>
              <w:rPr>
                <w:rFonts w:ascii="仿宋_GB2312" w:hAnsi="仿宋_GB2312" w:eastAsia="仿宋_GB2312"/>
                <w:sz w:val="32"/>
                <w:szCs w:val="20"/>
              </w:rPr>
            </w:pPr>
          </w:p>
        </w:tc>
      </w:tr>
    </w:tbl>
    <w:p>
      <w:pPr>
        <w:widowControl/>
        <w:spacing w:after="200" w:line="520" w:lineRule="exact"/>
        <w:jc w:val="left"/>
        <w:rPr>
          <w:rFonts w:ascii="宋体" w:hAnsi="宋体"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填写说明：</w:t>
      </w:r>
      <w:r>
        <w:rPr>
          <w:rFonts w:hint="eastAsia" w:eastAsia="仿宋_GB2312"/>
          <w:sz w:val="28"/>
          <w:szCs w:val="28"/>
        </w:rPr>
        <w:t>用户角色一栏中，县（市、区）用户为县级审核员，负责对企业上报或其他地市推送的信息进行认定、公开、评分等日常工作；市级用户角色为市级审核员，负责在平台检查和审核所辖范围内各县（市、区）物业企业信用信息管理情况，有权进行纠正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A0CF3"/>
    <w:rsid w:val="0FAA0CF3"/>
    <w:rsid w:val="6722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2019-01-18T06:53:00Z</dcterms:created>
  <dc:creator>写稿子的阿宅</dc:creator>
  <cp:lastModifiedBy>写稿子的阿宅</cp:lastModifiedBy>
  <dcterms:modified xsi:type="dcterms:W3CDTF">2019-01-18T06:54:22Z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