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99" w:type="dxa"/>
        <w:tblInd w:w="0" w:type="dxa"/>
        <w:tblLayout w:type="fixed"/>
        <w:tblCellMar>
          <w:top w:w="15" w:type="dxa"/>
          <w:left w:w="15" w:type="dxa"/>
          <w:bottom w:w="15" w:type="dxa"/>
          <w:right w:w="15" w:type="dxa"/>
        </w:tblCellMar>
      </w:tblPr>
      <w:tblGrid>
        <w:gridCol w:w="450"/>
        <w:gridCol w:w="904"/>
        <w:gridCol w:w="720"/>
        <w:gridCol w:w="15"/>
        <w:gridCol w:w="6645"/>
        <w:gridCol w:w="2070"/>
        <w:gridCol w:w="3195"/>
      </w:tblGrid>
      <w:tr>
        <w:tblPrEx>
          <w:tblLayout w:type="fixed"/>
          <w:tblCellMar>
            <w:top w:w="15" w:type="dxa"/>
            <w:left w:w="15" w:type="dxa"/>
            <w:bottom w:w="15" w:type="dxa"/>
            <w:right w:w="15" w:type="dxa"/>
          </w:tblCellMar>
        </w:tblPrEx>
        <w:trPr>
          <w:trHeight w:val="675" w:hRule="atLeast"/>
        </w:trPr>
        <w:tc>
          <w:tcPr>
            <w:tcW w:w="13999" w:type="dxa"/>
            <w:gridSpan w:val="7"/>
            <w:vAlign w:val="center"/>
          </w:tcPr>
          <w:p>
            <w:pPr>
              <w:widowControl/>
              <w:spacing w:line="600" w:lineRule="exact"/>
              <w:jc w:val="center"/>
              <w:textAlignment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sz w:val="36"/>
                <w:szCs w:val="36"/>
              </w:rPr>
              <w:t>浙江省定价目录（2018年版）</w:t>
            </w:r>
            <w:bookmarkEnd w:id="0"/>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序号</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定价项目</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定价内容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定价部门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备注</w:t>
            </w:r>
          </w:p>
        </w:tc>
      </w:tr>
      <w:tr>
        <w:tblPrEx>
          <w:tblLayout w:type="fixed"/>
          <w:tblCellMar>
            <w:top w:w="15" w:type="dxa"/>
            <w:left w:w="15" w:type="dxa"/>
            <w:bottom w:w="15" w:type="dxa"/>
            <w:right w:w="15" w:type="dxa"/>
          </w:tblCellMar>
        </w:tblPrEx>
        <w:trPr>
          <w:trHeight w:val="641" w:hRule="atLeast"/>
        </w:trPr>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电力</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省级以下电网调度的发电企业上网电价以及省级以下电网输配电价、销售电价</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上网电价、销售电价不包括电力直接交易、招标定价等通过市场竞争形成的价格</w:t>
            </w:r>
          </w:p>
        </w:tc>
      </w:tr>
      <w:tr>
        <w:tblPrEx>
          <w:tblLayout w:type="fixed"/>
          <w:tblCellMar>
            <w:top w:w="15" w:type="dxa"/>
            <w:left w:w="15" w:type="dxa"/>
            <w:bottom w:w="15" w:type="dxa"/>
            <w:right w:w="15" w:type="dxa"/>
          </w:tblCellMar>
        </w:tblPrEx>
        <w:trPr>
          <w:trHeight w:val="24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燃气</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省级天然气管网供城市燃气企业和燃气电厂销售价格</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辖区内公共管网燃气配气价格和销售价格</w:t>
            </w:r>
          </w:p>
        </w:tc>
        <w:tc>
          <w:tcPr>
            <w:tcW w:w="20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大用户、车用气除外</w:t>
            </w:r>
          </w:p>
        </w:tc>
      </w:tr>
      <w:tr>
        <w:tblPrEx>
          <w:tblLayout w:type="fixed"/>
          <w:tblCellMar>
            <w:top w:w="15" w:type="dxa"/>
            <w:left w:w="15" w:type="dxa"/>
            <w:bottom w:w="15" w:type="dxa"/>
            <w:right w:w="15" w:type="dxa"/>
          </w:tblCellMar>
        </w:tblPrEx>
        <w:trPr>
          <w:trHeight w:val="606"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供排水</w:t>
            </w:r>
          </w:p>
        </w:tc>
        <w:tc>
          <w:tcPr>
            <w:tcW w:w="7380" w:type="dxa"/>
            <w:gridSpan w:val="3"/>
            <w:tcBorders>
              <w:top w:val="single" w:color="000000" w:sz="4" w:space="0"/>
              <w:left w:val="single" w:color="000000"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辖区内水利工程供水价格</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用户自建自用的水利工程和供方与需方通过协议明确由双方协商定价的部分除外</w:t>
            </w:r>
          </w:p>
        </w:tc>
      </w:tr>
      <w:tr>
        <w:tblPrEx>
          <w:tblLayout w:type="fixed"/>
          <w:tblCellMar>
            <w:top w:w="15" w:type="dxa"/>
            <w:left w:w="15" w:type="dxa"/>
            <w:bottom w:w="15" w:type="dxa"/>
            <w:right w:w="15" w:type="dxa"/>
          </w:tblCellMar>
        </w:tblPrEx>
        <w:trPr>
          <w:trHeight w:val="9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辖区内城乡公共管网供应的自来水价格</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农村村民自建、自管的自来水除外</w:t>
            </w:r>
          </w:p>
        </w:tc>
      </w:tr>
      <w:tr>
        <w:tblPrEx>
          <w:tblLayout w:type="fixed"/>
          <w:tblCellMar>
            <w:top w:w="15" w:type="dxa"/>
            <w:left w:w="15" w:type="dxa"/>
            <w:bottom w:w="15" w:type="dxa"/>
            <w:right w:w="15" w:type="dxa"/>
          </w:tblCellMar>
        </w:tblPrEx>
        <w:trPr>
          <w:trHeight w:val="90"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04"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7380" w:type="dxa"/>
            <w:gridSpan w:val="3"/>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辖区内污水处理收费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交通运输</w:t>
            </w:r>
          </w:p>
        </w:tc>
        <w:tc>
          <w:tcPr>
            <w:tcW w:w="735"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车、船通行费</w:t>
            </w:r>
          </w:p>
        </w:tc>
        <w:tc>
          <w:tcPr>
            <w:tcW w:w="6645" w:type="dxa"/>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政府还贷公路（含桥梁和隧道）车辆通行费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省交通运输主管部门会同省价格主管部门、省财政主管部门</w:t>
            </w:r>
          </w:p>
        </w:tc>
        <w:tc>
          <w:tcPr>
            <w:tcW w:w="319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报省人民政府审查批准</w:t>
            </w: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left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经营性公路（含桥梁和隧道）车辆通行费</w:t>
            </w:r>
          </w:p>
        </w:tc>
        <w:tc>
          <w:tcPr>
            <w:tcW w:w="207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省交通运输主管部门会同省价格主管部门</w:t>
            </w:r>
          </w:p>
        </w:tc>
        <w:tc>
          <w:tcPr>
            <w:tcW w:w="3195" w:type="dxa"/>
            <w:vMerge w:val="continue"/>
            <w:tcBorders>
              <w:top w:val="single" w:color="auto" w:sz="4" w:space="0"/>
              <w:left w:val="single" w:color="000000" w:sz="4" w:space="0"/>
              <w:bottom w:val="single" w:color="000000" w:sz="4" w:space="0"/>
              <w:right w:val="single" w:color="auto"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100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6645" w:type="dxa"/>
            <w:tcBorders>
              <w:top w:val="single" w:color="000000" w:sz="4" w:space="0"/>
              <w:left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船闸过闸费</w:t>
            </w:r>
          </w:p>
        </w:tc>
        <w:tc>
          <w:tcPr>
            <w:tcW w:w="2070"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省价格主管部门会同省交通运输主管部门</w:t>
            </w:r>
          </w:p>
        </w:tc>
        <w:tc>
          <w:tcPr>
            <w:tcW w:w="3195" w:type="dxa"/>
            <w:tcBorders>
              <w:top w:val="single" w:color="000000" w:sz="4" w:space="0"/>
              <w:left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道路运输价格</w:t>
            </w: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省内跨市部分道路班车客运运价、燃油附加费（高铁沿线班车除外），跨市城际轨道交通运价</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省价格主管部门会同省交通运输主管部门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市内跨县、区部分道路班车客运运价、燃油附加费（高铁沿线班车除外），市内城际轨道交通运价</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辖区内农村道路客运票价</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城市交通价格</w:t>
            </w: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辖区内公共交通票价（含城乡公交、地铁、海岛船渡）</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辖区内客运出租车基本运价、燃油（气）附加费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网络预约出租车除外</w:t>
            </w: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辖区内具有自然垄断经营和公益性特征的停车设施服务收费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定价范围为城市道路公共停车泊位，交通场站停车场，公立医院、体育场馆配套停车场，政府投资的公共停车场机动车停放服务</w:t>
            </w: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民航服务收费</w:t>
            </w: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杭州萧山国际机场旅客接送费、航站楼前地面停车场收费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宁波、温州、义乌国际机场旅客接送费、停车费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管道运输价格</w:t>
            </w:r>
          </w:p>
        </w:tc>
        <w:tc>
          <w:tcPr>
            <w:tcW w:w="66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省内跨市管道运输价格（含进口液化天然气接收站气化服务价格）</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5" w:type="dxa"/>
            <w:gridSpan w:val="2"/>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0"/>
                <w:szCs w:val="20"/>
              </w:rPr>
            </w:pPr>
          </w:p>
        </w:tc>
        <w:tc>
          <w:tcPr>
            <w:tcW w:w="664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市内短途管道运输价格</w:t>
            </w:r>
          </w:p>
        </w:tc>
        <w:tc>
          <w:tcPr>
            <w:tcW w:w="20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5</w:t>
            </w:r>
          </w:p>
        </w:tc>
        <w:tc>
          <w:tcPr>
            <w:tcW w:w="904"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环境保护</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危险废物处置收费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22"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辖区内生活垃圾（不含建筑垃圾）处理收费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由村集体组织确定价格的除外</w:t>
            </w:r>
          </w:p>
        </w:tc>
      </w:tr>
      <w:tr>
        <w:tblPrEx>
          <w:tblLayout w:type="fixed"/>
          <w:tblCellMar>
            <w:top w:w="15" w:type="dxa"/>
            <w:left w:w="15" w:type="dxa"/>
            <w:bottom w:w="15" w:type="dxa"/>
            <w:right w:w="15" w:type="dxa"/>
          </w:tblCellMar>
        </w:tblPrEx>
        <w:trPr>
          <w:trHeight w:val="176"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04" w:type="dxa"/>
            <w:vMerge w:val="continue"/>
            <w:tcBorders>
              <w:left w:val="single" w:color="000000" w:sz="4" w:space="0"/>
              <w:bottom w:val="single" w:color="000000" w:sz="4" w:space="0"/>
              <w:right w:val="single" w:color="auto" w:sz="4" w:space="0"/>
            </w:tcBorders>
            <w:vAlign w:val="center"/>
          </w:tcPr>
          <w:p>
            <w:pPr>
              <w:widowControl/>
              <w:jc w:val="center"/>
              <w:textAlignment w:val="center"/>
            </w:pPr>
          </w:p>
        </w:tc>
        <w:tc>
          <w:tcPr>
            <w:tcW w:w="73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排污权有偿使用价格</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定价范围为总装机容量30万千瓦以上燃煤发电企业</w:t>
            </w:r>
          </w:p>
        </w:tc>
      </w:tr>
      <w:tr>
        <w:tblPrEx>
          <w:tblLayout w:type="fixed"/>
          <w:tblCellMar>
            <w:top w:w="15" w:type="dxa"/>
            <w:left w:w="15" w:type="dxa"/>
            <w:bottom w:w="15" w:type="dxa"/>
            <w:right w:w="15" w:type="dxa"/>
          </w:tblCellMar>
        </w:tblPrEx>
        <w:trPr>
          <w:trHeight w:val="176"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04" w:type="dxa"/>
            <w:vMerge w:val="continue"/>
            <w:tcBorders>
              <w:left w:val="single" w:color="000000" w:sz="4" w:space="0"/>
              <w:bottom w:val="single" w:color="000000" w:sz="4" w:space="0"/>
              <w:right w:val="single" w:color="auto" w:sz="4" w:space="0"/>
            </w:tcBorders>
            <w:vAlign w:val="center"/>
          </w:tcPr>
          <w:p>
            <w:pPr>
              <w:widowControl/>
              <w:jc w:val="center"/>
              <w:textAlignment w:val="center"/>
            </w:pPr>
          </w:p>
        </w:tc>
        <w:tc>
          <w:tcPr>
            <w:tcW w:w="73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定价范围为辖区内省定价以外的排污权有偿使用价格</w:t>
            </w:r>
          </w:p>
        </w:tc>
      </w:tr>
      <w:tr>
        <w:tblPrEx>
          <w:tblLayout w:type="fixed"/>
          <w:tblCellMar>
            <w:top w:w="15" w:type="dxa"/>
            <w:left w:w="15" w:type="dxa"/>
            <w:bottom w:w="15" w:type="dxa"/>
            <w:right w:w="15" w:type="dxa"/>
          </w:tblCellMar>
        </w:tblPrEx>
        <w:trPr>
          <w:trHeight w:val="634" w:hRule="atLeast"/>
        </w:trPr>
        <w:tc>
          <w:tcPr>
            <w:tcW w:w="4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6</w:t>
            </w:r>
          </w:p>
        </w:tc>
        <w:tc>
          <w:tcPr>
            <w:tcW w:w="904" w:type="dxa"/>
            <w:vMerge w:val="restart"/>
            <w:tcBorders>
              <w:top w:val="single" w:color="000000" w:sz="4" w:space="0"/>
              <w:left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教育</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公办学历教育（高等教育，省属普通高中、中等职业教育</w:t>
            </w:r>
            <w:r>
              <w:rPr>
                <w:rFonts w:ascii="宋体" w:hAnsi="宋体" w:cs="宋体"/>
                <w:color w:val="000000"/>
                <w:sz w:val="20"/>
                <w:szCs w:val="20"/>
              </w:rPr>
              <w:t>）</w:t>
            </w:r>
            <w:r>
              <w:rPr>
                <w:rFonts w:hint="eastAsia" w:ascii="宋体" w:hAnsi="宋体" w:cs="宋体"/>
                <w:color w:val="000000"/>
                <w:sz w:val="20"/>
                <w:szCs w:val="20"/>
              </w:rPr>
              <w:t>收费，省属公办幼儿园收费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省价格主管部门会同省财政主管部门、省教育主管部门</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含中外合作办学</w:t>
            </w:r>
          </w:p>
        </w:tc>
      </w:tr>
      <w:tr>
        <w:tblPrEx>
          <w:tblLayout w:type="fixed"/>
          <w:tblCellMar>
            <w:top w:w="15" w:type="dxa"/>
            <w:left w:w="15" w:type="dxa"/>
            <w:bottom w:w="15" w:type="dxa"/>
            <w:right w:w="15" w:type="dxa"/>
          </w:tblCellMar>
        </w:tblPrEx>
        <w:trPr>
          <w:trHeight w:val="634"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highlight w:val="yellow"/>
              </w:rPr>
            </w:pPr>
          </w:p>
        </w:tc>
        <w:tc>
          <w:tcPr>
            <w:tcW w:w="904" w:type="dxa"/>
            <w:vMerge w:val="continue"/>
            <w:tcBorders>
              <w:left w:val="single" w:color="000000" w:sz="4" w:space="0"/>
              <w:bottom w:val="single" w:color="000000" w:sz="4" w:space="0"/>
              <w:right w:val="single" w:color="auto" w:sz="4" w:space="0"/>
            </w:tcBorders>
            <w:vAlign w:val="center"/>
          </w:tcPr>
          <w:p>
            <w:pPr>
              <w:widowControl/>
              <w:jc w:val="center"/>
              <w:textAlignment w:val="center"/>
              <w:rPr>
                <w:highlight w:val="yellow"/>
              </w:rP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highlight w:val="yellow"/>
              </w:rPr>
            </w:pPr>
            <w:r>
              <w:rPr>
                <w:rFonts w:hint="eastAsia" w:ascii="宋体" w:hAnsi="宋体" w:cs="宋体"/>
                <w:color w:val="000000"/>
                <w:sz w:val="20"/>
                <w:szCs w:val="20"/>
              </w:rPr>
              <w:t>辖区内省定价以外的公办学历教育(普通高中、中等职业教育)收费、公办幼儿园收费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szCs w:val="20"/>
                <w:highlight w:val="yellow"/>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highlight w:val="yellow"/>
              </w:rPr>
            </w:pPr>
            <w:r>
              <w:rPr>
                <w:rFonts w:hint="eastAsia" w:ascii="宋体" w:hAnsi="宋体" w:cs="宋体"/>
                <w:color w:val="000000"/>
                <w:sz w:val="20"/>
                <w:szCs w:val="20"/>
              </w:rPr>
              <w:t>含中外合作办学</w:t>
            </w:r>
          </w:p>
        </w:tc>
      </w:tr>
      <w:tr>
        <w:tblPrEx>
          <w:tblLayout w:type="fixed"/>
          <w:tblCellMar>
            <w:top w:w="15" w:type="dxa"/>
            <w:left w:w="15" w:type="dxa"/>
            <w:bottom w:w="15" w:type="dxa"/>
            <w:right w:w="15" w:type="dxa"/>
          </w:tblCellMar>
        </w:tblPrEx>
        <w:trPr>
          <w:trHeight w:val="322"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非营利性民办学历教育(高等教育，省属普通中小学、中等职业教育)收费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省价格主管部门会同省教育主管部门</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rPr>
              <w:t>含中外合作办学</w:t>
            </w:r>
          </w:p>
        </w:tc>
      </w:tr>
      <w:tr>
        <w:tblPrEx>
          <w:tblLayout w:type="fixed"/>
          <w:tblCellMar>
            <w:top w:w="15" w:type="dxa"/>
            <w:left w:w="15" w:type="dxa"/>
            <w:bottom w:w="15" w:type="dxa"/>
            <w:right w:w="15" w:type="dxa"/>
          </w:tblCellMar>
        </w:tblPrEx>
        <w:trPr>
          <w:trHeight w:val="322"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04" w:type="dxa"/>
            <w:vMerge w:val="continue"/>
            <w:tcBorders>
              <w:left w:val="single" w:color="000000" w:sz="4" w:space="0"/>
              <w:bottom w:val="single" w:color="000000" w:sz="4" w:space="0"/>
              <w:right w:val="single" w:color="auto" w:sz="4" w:space="0"/>
            </w:tcBorders>
            <w:vAlign w:val="center"/>
          </w:tcPr>
          <w:p>
            <w:pPr>
              <w:widowControl/>
              <w:jc w:val="center"/>
              <w:textAlignment w:val="cente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highlight w:val="yellow"/>
              </w:rPr>
            </w:pPr>
            <w:r>
              <w:rPr>
                <w:rFonts w:hint="eastAsia" w:ascii="宋体" w:hAnsi="宋体" w:cs="宋体"/>
                <w:color w:val="000000"/>
                <w:sz w:val="20"/>
                <w:szCs w:val="20"/>
              </w:rPr>
              <w:t>辖区内省定价以外的非营利性民办学历教育（普通中小学、中等职业教育）收费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0"/>
                <w:szCs w:val="20"/>
                <w:highlight w:val="yellow"/>
              </w:rPr>
            </w:pPr>
            <w:r>
              <w:rPr>
                <w:rFonts w:hint="eastAsia" w:ascii="宋体" w:hAnsi="宋体" w:cs="宋体"/>
                <w:color w:val="000000"/>
                <w:sz w:val="20"/>
                <w:szCs w:val="20"/>
              </w:rPr>
              <w:t>授权市、县人民政府</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0"/>
                <w:szCs w:val="20"/>
                <w:highlight w:val="yellow"/>
              </w:rPr>
            </w:pPr>
            <w:r>
              <w:rPr>
                <w:rFonts w:hint="eastAsia" w:ascii="宋体" w:hAnsi="宋体" w:cs="宋体"/>
                <w:color w:val="000000"/>
                <w:sz w:val="20"/>
                <w:szCs w:val="20"/>
              </w:rPr>
              <w:t>含中外合作办学</w:t>
            </w: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列入省教育主管部门颁布的中小学教学用书目录的教科书和列入省中小学评议公告的教辅材料印张单价和零售价格</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省价格主管部门会同省出版行政主管部门</w:t>
            </w:r>
          </w:p>
        </w:tc>
        <w:tc>
          <w:tcPr>
            <w:tcW w:w="31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450"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7</w:t>
            </w:r>
          </w:p>
        </w:tc>
        <w:tc>
          <w:tcPr>
            <w:tcW w:w="904"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医疗服务</w:t>
            </w:r>
          </w:p>
        </w:tc>
        <w:tc>
          <w:tcPr>
            <w:tcW w:w="7380"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公立医疗机构提供的基本医疗服务价格</w:t>
            </w:r>
          </w:p>
        </w:tc>
        <w:tc>
          <w:tcPr>
            <w:tcW w:w="207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省价格主管部门会同省卫生主管部门、省人力社保主管部门</w:t>
            </w:r>
          </w:p>
        </w:tc>
        <w:tc>
          <w:tcPr>
            <w:tcW w:w="319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定价范围为省级公立医疗机构提供的基本医疗服务</w:t>
            </w:r>
          </w:p>
        </w:tc>
      </w:tr>
      <w:tr>
        <w:tblPrEx>
          <w:tblLayout w:type="fixed"/>
          <w:tblCellMar>
            <w:top w:w="15" w:type="dxa"/>
            <w:left w:w="15" w:type="dxa"/>
            <w:bottom w:w="15" w:type="dxa"/>
            <w:right w:w="15" w:type="dxa"/>
          </w:tblCellMar>
        </w:tblPrEx>
        <w:trPr>
          <w:trHeight w:val="720" w:hRule="atLeast"/>
        </w:trPr>
        <w:tc>
          <w:tcPr>
            <w:tcW w:w="45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c>
          <w:tcPr>
            <w:tcW w:w="904"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c>
          <w:tcPr>
            <w:tcW w:w="7380" w:type="dxa"/>
            <w:gridSpan w:val="3"/>
            <w:vMerge w:val="continue"/>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定价范围为省定价以外的公立医疗机构提供的基本医疗服务</w:t>
            </w:r>
          </w:p>
        </w:tc>
      </w:tr>
      <w:tr>
        <w:tblPrEx>
          <w:tblLayout w:type="fixed"/>
          <w:tblCellMar>
            <w:top w:w="15" w:type="dxa"/>
            <w:left w:w="15" w:type="dxa"/>
            <w:bottom w:w="15" w:type="dxa"/>
            <w:right w:w="15" w:type="dxa"/>
          </w:tblCellMar>
        </w:tblPrEx>
        <w:trPr>
          <w:trHeight w:val="480" w:hRule="atLeast"/>
        </w:trPr>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8</w:t>
            </w:r>
          </w:p>
        </w:tc>
        <w:tc>
          <w:tcPr>
            <w:tcW w:w="9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养老服务</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辖区内公办养老机构的基本服务收费（床位费和护理费）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9</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殡葬服务</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辖区内殡仪服务机构提供的基本服务收费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辖区内具有公益性质的公墓（含骨灰存放处）、乡村公益性墓地（含骨灰存放处）的使用及相关服务收费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文化旅游</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有线数字电视</w:t>
            </w:r>
          </w:p>
        </w:tc>
        <w:tc>
          <w:tcPr>
            <w:tcW w:w="6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居民用户有线数字电视基本服务收费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景区</w:t>
            </w:r>
          </w:p>
        </w:tc>
        <w:tc>
          <w:tcPr>
            <w:tcW w:w="6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辖区内利用公共资源建设的景区（游览参观点）门票价格以及配套交通服务收费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公共体育设施</w:t>
            </w:r>
          </w:p>
        </w:tc>
        <w:tc>
          <w:tcPr>
            <w:tcW w:w="666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辖区内列入公共体育设施名录的公共体育设施的服务收费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30"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11</w:t>
            </w:r>
          </w:p>
        </w:tc>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保障性住房及物业服务</w:t>
            </w: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辖区内保障性住房销售价格、公租房租金</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72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市辖区内普通住房前期物业收费</w:t>
            </w:r>
          </w:p>
        </w:tc>
        <w:tc>
          <w:tcPr>
            <w:tcW w:w="207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cs="宋体"/>
                <w:i/>
                <w:strike/>
                <w:color w:val="FF0000"/>
                <w:sz w:val="20"/>
                <w:szCs w:val="20"/>
              </w:rPr>
            </w:pPr>
          </w:p>
        </w:tc>
      </w:tr>
      <w:tr>
        <w:tblPrEx>
          <w:tblLayout w:type="fixed"/>
          <w:tblCellMar>
            <w:top w:w="15" w:type="dxa"/>
            <w:left w:w="15" w:type="dxa"/>
            <w:bottom w:w="15" w:type="dxa"/>
            <w:right w:w="15" w:type="dxa"/>
          </w:tblCellMar>
        </w:tblPrEx>
        <w:trPr>
          <w:trHeight w:val="1718" w:hRule="atLeast"/>
        </w:trPr>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12</w:t>
            </w:r>
          </w:p>
        </w:tc>
        <w:tc>
          <w:tcPr>
            <w:tcW w:w="904"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重要专业服务</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司法服务收费</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省价格主管部门会同省司法行政部门</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定价范围为公证机构基本服务，司法鉴定机构基本鉴定服务，律师事务所和基层法律服务机构提供刑事案件辩护代理和部分民事诉讼、行政诉讼、公共利益的群体性诉讼、国家赔偿案件代理服务</w:t>
            </w:r>
          </w:p>
        </w:tc>
      </w:tr>
      <w:tr>
        <w:tblPrEx>
          <w:tblLayout w:type="fixed"/>
          <w:tblCellMar>
            <w:top w:w="15" w:type="dxa"/>
            <w:left w:w="15" w:type="dxa"/>
            <w:bottom w:w="15" w:type="dxa"/>
            <w:right w:w="15" w:type="dxa"/>
          </w:tblCellMar>
        </w:tblPrEx>
        <w:trPr>
          <w:trHeight w:val="171" w:hRule="atLeast"/>
        </w:trPr>
        <w:tc>
          <w:tcPr>
            <w:tcW w:w="450" w:type="dxa"/>
            <w:vMerge w:val="continue"/>
            <w:tcBorders>
              <w:left w:val="single" w:color="000000" w:sz="4" w:space="0"/>
              <w:bottom w:val="single" w:color="000000" w:sz="4" w:space="0"/>
              <w:right w:val="single" w:color="000000" w:sz="4" w:space="0"/>
            </w:tcBorders>
            <w:vAlign w:val="center"/>
          </w:tcPr>
          <w:p>
            <w:pPr>
              <w:widowControl/>
              <w:jc w:val="center"/>
              <w:textAlignment w:val="center"/>
            </w:pPr>
          </w:p>
        </w:tc>
        <w:tc>
          <w:tcPr>
            <w:tcW w:w="904" w:type="dxa"/>
            <w:vMerge w:val="continue"/>
            <w:tcBorders>
              <w:left w:val="single" w:color="000000" w:sz="4" w:space="0"/>
              <w:bottom w:val="single" w:color="000000" w:sz="4" w:space="0"/>
              <w:right w:val="single" w:color="auto" w:sz="4" w:space="0"/>
            </w:tcBorders>
            <w:vAlign w:val="center"/>
          </w:tcPr>
          <w:p>
            <w:pPr>
              <w:widowControl/>
              <w:jc w:val="center"/>
              <w:textAlignment w:val="cente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高速公路救援服务收费</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sz w:val="20"/>
                <w:szCs w:val="20"/>
              </w:rPr>
            </w:pPr>
          </w:p>
        </w:tc>
        <w:tc>
          <w:tcPr>
            <w:tcW w:w="7380"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部分特种设施设备安全生产检测服务收费</w:t>
            </w:r>
          </w:p>
        </w:tc>
        <w:tc>
          <w:tcPr>
            <w:tcW w:w="20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48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垄断性交易平台收费</w:t>
            </w:r>
          </w:p>
        </w:tc>
        <w:tc>
          <w:tcPr>
            <w:tcW w:w="207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省价格主管部门</w:t>
            </w:r>
          </w:p>
        </w:tc>
        <w:tc>
          <w:tcPr>
            <w:tcW w:w="319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定价范围为省级公共资源交易平台的工程建设项目、矿业权交易</w:t>
            </w:r>
          </w:p>
        </w:tc>
      </w:tr>
      <w:tr>
        <w:tblPrEx>
          <w:tblLayout w:type="fixed"/>
          <w:tblCellMar>
            <w:top w:w="15" w:type="dxa"/>
            <w:left w:w="15" w:type="dxa"/>
            <w:bottom w:w="15" w:type="dxa"/>
            <w:right w:w="15" w:type="dxa"/>
          </w:tblCellMar>
        </w:tblPrEx>
        <w:trPr>
          <w:trHeight w:val="72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vMerge w:val="continue"/>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定价范围为市级公共资源交易平台的工程建设项目、矿业权、国有资产（产权经营权）交易</w:t>
            </w: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辖区内公用事业经营单位提供的具有行业或技术垄断且与主营业务相关的服务收费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hint="eastAsia" w:ascii="宋体" w:hAnsi="宋体" w:cs="宋体"/>
                <w:color w:val="000000"/>
                <w:sz w:val="20"/>
                <w:szCs w:val="20"/>
              </w:rPr>
              <w:t>定价范围为供电、供排水、供气等部门提供的服务（含预埋或改造）</w:t>
            </w:r>
          </w:p>
        </w:tc>
      </w:tr>
      <w:tr>
        <w:tblPrEx>
          <w:tblLayout w:type="fixed"/>
          <w:tblCellMar>
            <w:top w:w="15" w:type="dxa"/>
            <w:left w:w="15" w:type="dxa"/>
            <w:bottom w:w="15" w:type="dxa"/>
            <w:right w:w="15" w:type="dxa"/>
          </w:tblCellMar>
        </w:tblPrEx>
        <w:trPr>
          <w:trHeight w:val="240" w:hRule="atLeast"/>
        </w:trPr>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7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辖区内生猪定点屠宰收费</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授权市、县人民政府</w:t>
            </w:r>
          </w:p>
        </w:tc>
        <w:tc>
          <w:tcPr>
            <w:tcW w:w="319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90" w:hRule="atLeast"/>
        </w:trPr>
        <w:tc>
          <w:tcPr>
            <w:tcW w:w="13999"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sz w:val="20"/>
                <w:szCs w:val="20"/>
              </w:rPr>
              <w:t xml:space="preserve">注：1、本定价目录不包括中央定价项目内容，在省内凡涉及中央定价（国家发展改革委和国务院有关部门）的定价项目、定价内容一律按中央定价目录执行。 </w:t>
            </w:r>
            <w:r>
              <w:rPr>
                <w:rFonts w:hint="eastAsia" w:ascii="宋体" w:hAnsi="宋体" w:cs="宋体"/>
                <w:color w:val="000000"/>
                <w:sz w:val="20"/>
                <w:szCs w:val="20"/>
              </w:rPr>
              <w:br w:type="textWrapping"/>
            </w:r>
            <w:r>
              <w:rPr>
                <w:rFonts w:hint="eastAsia" w:ascii="宋体" w:hAnsi="宋体" w:cs="宋体"/>
                <w:color w:val="000000"/>
                <w:sz w:val="20"/>
                <w:szCs w:val="20"/>
              </w:rPr>
              <w:t>　　2、列入本目录的定价内容，包括定价项目的具体价格、收费标准、基准价及其浮动幅度以及相关的定价机制、办法、规则等。</w:t>
            </w:r>
            <w:r>
              <w:rPr>
                <w:rFonts w:hint="eastAsia" w:ascii="宋体" w:hAnsi="宋体" w:cs="宋体"/>
                <w:color w:val="000000"/>
                <w:sz w:val="20"/>
                <w:szCs w:val="20"/>
              </w:rPr>
              <w:br w:type="textWrapping"/>
            </w:r>
            <w:r>
              <w:rPr>
                <w:rFonts w:hint="eastAsia" w:ascii="宋体" w:hAnsi="宋体" w:cs="宋体"/>
                <w:color w:val="000000"/>
                <w:sz w:val="20"/>
                <w:szCs w:val="20"/>
              </w:rPr>
              <w:t>　　3、法律、行政法规明确规定实行政府定价、政府指导价的项目，自动进入本目录；法律、行政法规明确规定实行市场调节价的项目，自动退出本目录。</w:t>
            </w:r>
            <w:r>
              <w:rPr>
                <w:rFonts w:hint="eastAsia" w:ascii="宋体" w:hAnsi="宋体" w:cs="宋体"/>
                <w:color w:val="000000"/>
                <w:sz w:val="20"/>
                <w:szCs w:val="20"/>
              </w:rPr>
              <w:br w:type="textWrapping"/>
            </w:r>
            <w:r>
              <w:rPr>
                <w:rFonts w:hint="eastAsia" w:ascii="宋体" w:hAnsi="宋体" w:cs="宋体"/>
                <w:color w:val="000000"/>
                <w:sz w:val="20"/>
                <w:szCs w:val="20"/>
              </w:rPr>
              <w:t>　　4、本定价目录所称的市指设区的市及义乌市，县指县及县级市；辖区内指市、县本级行政区域范围内；授权市辖区人民政府实施本定价目录的部分定价权限，由省价格主管部门根据本定价目录另行下达。</w:t>
            </w:r>
            <w:r>
              <w:rPr>
                <w:rFonts w:hint="eastAsia" w:ascii="宋体" w:hAnsi="宋体" w:cs="宋体"/>
                <w:color w:val="000000"/>
                <w:sz w:val="20"/>
                <w:szCs w:val="20"/>
              </w:rPr>
              <w:br w:type="textWrapping"/>
            </w:r>
            <w:r>
              <w:rPr>
                <w:rFonts w:hint="eastAsia" w:ascii="宋体" w:hAnsi="宋体" w:cs="宋体"/>
                <w:color w:val="000000"/>
                <w:sz w:val="20"/>
                <w:szCs w:val="20"/>
              </w:rPr>
              <w:t xml:space="preserve">    5、市、县、区人民政府制定在本地区执行的政府指导价、政府定价，由本级政府价格主管部门或者相关部门负责具体工作。</w:t>
            </w:r>
            <w:r>
              <w:rPr>
                <w:rFonts w:hint="eastAsia" w:ascii="宋体" w:hAnsi="宋体" w:cs="宋体"/>
                <w:color w:val="000000"/>
                <w:sz w:val="20"/>
                <w:szCs w:val="20"/>
              </w:rPr>
              <w:br w:type="textWrapping"/>
            </w:r>
            <w:r>
              <w:rPr>
                <w:rFonts w:hint="eastAsia" w:ascii="宋体" w:hAnsi="宋体" w:cs="宋体"/>
                <w:color w:val="000000"/>
                <w:sz w:val="20"/>
                <w:szCs w:val="20"/>
              </w:rPr>
              <w:t xml:space="preserve">    6、成品油价格、机动车检测检验服务收费、电动汽车充换电服务收费、行政事业性收费按国家有关规定管理。</w:t>
            </w:r>
            <w:r>
              <w:rPr>
                <w:rFonts w:hint="eastAsia" w:ascii="宋体" w:hAnsi="宋体" w:cs="宋体"/>
                <w:color w:val="000000"/>
                <w:sz w:val="20"/>
                <w:szCs w:val="20"/>
              </w:rPr>
              <w:br w:type="textWrapping"/>
            </w:r>
            <w:r>
              <w:rPr>
                <w:rFonts w:hint="eastAsia" w:ascii="宋体" w:hAnsi="宋体" w:cs="宋体"/>
                <w:color w:val="000000"/>
                <w:sz w:val="20"/>
                <w:szCs w:val="20"/>
              </w:rPr>
              <w:t xml:space="preserve">    7、市、县、区人民政府可根据价格改革进程和本地实际，在所辖区域内将上述政府定价项目进行放开试点，经省人民政府批准同意后实施。</w:t>
            </w:r>
          </w:p>
        </w:tc>
      </w:tr>
    </w:tbl>
    <w:p>
      <w:pPr>
        <w:spacing w:line="560" w:lineRule="exact"/>
        <w:ind w:right="320" w:firstLine="645"/>
        <w:jc w:val="center"/>
        <w:rPr>
          <w:rFonts w:hint="eastAsia" w:ascii="仿宋_GB2312" w:eastAsia="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6538A"/>
    <w:rsid w:val="3996538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w:basedOn w:val="1"/>
    <w:link w:val="3"/>
    <w:uiPriority w:val="0"/>
    <w:pPr>
      <w:widowControl/>
      <w:spacing w:after="160" w:afterLines="0" w:line="240" w:lineRule="exact"/>
      <w:jc w:val="left"/>
    </w:p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2018-01-11T01:51:00Z</dcterms:created>
  <dc:creator>潘潇奇</dc:creator>
  <cp:lastModifiedBy>潘潇奇</cp:lastModifiedBy>
  <dcterms:modified xsi:type="dcterms:W3CDTF">2018-01-11T01:52:38Z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